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用户</w:t>
      </w:r>
      <w:r>
        <w:rPr>
          <w:rFonts w:hint="eastAsia"/>
          <w:color w:val="auto"/>
          <w:sz w:val="32"/>
          <w:szCs w:val="32"/>
        </w:rPr>
        <w:t>需求书</w:t>
      </w:r>
    </w:p>
    <w:p>
      <w:pPr>
        <w:pStyle w:val="11"/>
        <w:numPr>
          <w:numId w:val="0"/>
        </w:num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一、</w:t>
      </w:r>
      <w:bookmarkStart w:id="3" w:name="_GoBack"/>
      <w:bookmarkEnd w:id="3"/>
      <w:r>
        <w:rPr>
          <w:rFonts w:hint="eastAsia"/>
          <w:color w:val="auto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池州职业技术学院南大门固定式遮阳棚项目；</w:t>
      </w:r>
    </w:p>
    <w:p>
      <w:pPr>
        <w:pStyle w:val="11"/>
        <w:numPr>
          <w:ilvl w:val="0"/>
          <w:numId w:val="0"/>
        </w:numPr>
        <w:jc w:val="left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二、项目概况：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为积极响应池州市创建全国文明城市的要求，且规范新生开学期间的疫情防控管理，需在学院南门入口处搭设固定式遮阳棚。</w:t>
      </w:r>
    </w:p>
    <w:p>
      <w:pPr>
        <w:pStyle w:val="11"/>
        <w:numPr>
          <w:ilvl w:val="0"/>
          <w:numId w:val="0"/>
        </w:numPr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三、项目内容：</w:t>
      </w:r>
    </w:p>
    <w:tbl>
      <w:tblPr>
        <w:tblStyle w:val="9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899"/>
        <w:gridCol w:w="1899"/>
        <w:gridCol w:w="189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99" w:type="dxa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9" w:type="dxa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1899" w:type="dxa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服务期</w:t>
            </w:r>
          </w:p>
        </w:tc>
        <w:tc>
          <w:tcPr>
            <w:tcW w:w="1899" w:type="dxa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项目预算</w:t>
            </w:r>
          </w:p>
        </w:tc>
        <w:tc>
          <w:tcPr>
            <w:tcW w:w="1901" w:type="dxa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99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投影面积：55㎡</w:t>
            </w:r>
          </w:p>
        </w:tc>
        <w:tc>
          <w:tcPr>
            <w:tcW w:w="1899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自签订合同之日起10天内完成。</w:t>
            </w:r>
          </w:p>
        </w:tc>
        <w:tc>
          <w:tcPr>
            <w:tcW w:w="1899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3.3万元</w:t>
            </w:r>
          </w:p>
        </w:tc>
        <w:tc>
          <w:tcPr>
            <w:tcW w:w="190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质保期：工程验收合格后一年。</w:t>
            </w:r>
          </w:p>
        </w:tc>
      </w:tr>
    </w:tbl>
    <w:p>
      <w:pPr>
        <w:pStyle w:val="11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四、技术参数及功能要求</w:t>
      </w:r>
    </w:p>
    <w:tbl>
      <w:tblPr>
        <w:tblStyle w:val="9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82"/>
        <w:gridCol w:w="545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  <w:t>名称</w:t>
            </w:r>
          </w:p>
        </w:tc>
        <w:tc>
          <w:tcPr>
            <w:tcW w:w="30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eastAsia="zh-CN"/>
              </w:rPr>
              <w:t>技术参数及功能要求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顶棚</w:t>
            </w:r>
          </w:p>
        </w:tc>
        <w:tc>
          <w:tcPr>
            <w:tcW w:w="305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1.顶面框架是使用铝合金材质，主梁96*60*2.0(mm)，副梁80*90*2.0(mm)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2.优质铝合金，防锈烤漆，高温喷分层，强化基底层，碳化钨增强层。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3.顶面透光材料是使用PC耐力板材质，颜色是湖蓝色，厚度是2mm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4.UV涂层阻挡紫外线，防雨、防晒、防火</w:t>
            </w:r>
          </w:p>
          <w:p>
            <w:pPr>
              <w:rPr>
                <w:rFonts w:hint="default" w:ascii="Arial" w:hAnsi="Arial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仿宋_GB2312" w:cs="Times New Roman"/>
                <w:kern w:val="2"/>
                <w:sz w:val="28"/>
                <w:szCs w:val="20"/>
                <w:lang w:val="en-US" w:eastAsia="zh-CN" w:bidi="ar-SA"/>
              </w:rPr>
              <w:t>5.顶棚与横梁之间铺设隔热膜；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6.提供安装设计。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3057" w:type="pct"/>
            <w:vAlign w:val="center"/>
          </w:tcPr>
          <w:p>
            <w:pPr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1.铝合金框架颜色：灰色；</w:t>
            </w:r>
          </w:p>
          <w:p>
            <w:pPr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2.材料规格：立柱120*120*3.0(mm), 主梁96*60*2.0(mm)，副梁80*90*2.0(mm)，小支架25*35*1.0(mm)，侧梁120*120*3.0(mm)，水槽160*80*1.6(mm)，水管40*1.0(mm)（配饰配件要包含立柱排水管、水槽、聚碳酸酯板、螺丝、角马等。）</w:t>
            </w:r>
          </w:p>
          <w:p>
            <w:pPr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/>
                <w:sz w:val="28"/>
                <w:szCs w:val="28"/>
                <w:lang w:val="en-US" w:eastAsia="zh-CN"/>
              </w:rPr>
              <w:t>★3.该雨棚使用的铝合金、隔热型材供应商需提供型材厂家检测报告复印件，检测报告符合GB/T5237.6-2017《铝合金建筑型材第6部分：隔热型材》标准的要求。其中检测报告中所检的项目必须包含：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（1）弯曲度任意300mm长度上不大于0.3；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（2）扭拧度检测结果为每条长度上不大于1.60mm；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（3）壁厚尺寸范围是1.2±0.30mm之间；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（4）抗拉强度不小于160N/m㎡；规定非比例延伸强度不小于110N/m㎡；</w:t>
            </w:r>
          </w:p>
        </w:tc>
        <w:tc>
          <w:tcPr>
            <w:tcW w:w="6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4"/>
          <w:szCs w:val="24"/>
        </w:rPr>
        <w:t>、采购注意事项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bookmarkStart w:id="0" w:name="_Toc14900"/>
      <w:bookmarkStart w:id="1" w:name="_Toc27034"/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1、实施要求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中标方必须落实安全生产措施，且应按采购方以及有关部门的要求，配备相关安全警示标志及设施，自行解决安全作业问题。在进行施工作业时，现场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定要做好安全维护后牙能进场施水,同时中标方必须认真负责，并注意安全操作，如发生任何意外，中标方负责事故处理及包括但不限于赔偿费。诉讼费、律师费，差旅费等费用，概与采购人无关。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因城市建设需要调整中标方施工范围时，中标方要服从大局相应调整服务范围，因此造成的经济损失水中标方应承担--切经济责任和法律责任。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质量、服务要求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（1）报价人报价时所提供的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货物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如在实际供货时已经废型，则中标供应商必须用供货时该厂家的最新产品提供给用户单位，其性能指标不得低于所投设备，并且价格不变。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（2）</w:t>
      </w:r>
      <w:r>
        <w:rPr>
          <w:rFonts w:ascii="宋体" w:hAnsi="宋体" w:cs="宋体"/>
          <w:bCs/>
          <w:color w:val="auto"/>
          <w:kern w:val="0"/>
          <w:sz w:val="24"/>
          <w:szCs w:val="24"/>
          <w:highlight w:val="none"/>
        </w:rPr>
        <w:t>所投设备负责终身维修,保证有充足的部件和配件,如需更换部件或配件时, 将以不高于成本价为客户进行有偿收费服务。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3、其他要求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（1）中标人负责根据本项目内容各个不同的安装地点,将货物材料送到现场过程中的全部运输，包括装卸车、货物现场的搬运。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（2）各种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货物及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设备，必须提供装箱清单，按装箱清单验收货物。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（3）货物在现场的保管由中标人负责，直至项目安装、验收完毕。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（4）货物在安装调试验收合格前的保险由中标人负责，中标人负责其派出的现场服务人员人身意外保险。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 w:val="24"/>
          <w:szCs w:val="24"/>
        </w:rPr>
        <w:t>、商务需求（合同主要条款）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1、供货要求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时间：合同签订后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10个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highlight w:val="none"/>
          <w:u w:val="single"/>
        </w:rPr>
        <w:t>工作日内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交货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eastAsia="zh-CN"/>
        </w:rPr>
        <w:t>至采购人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指定地点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安装完毕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highlight w:val="none"/>
        </w:rPr>
        <w:t>；包装要求:所有设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备必须包装完好，必须原厂包装，不得拆封。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2、安装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设备供货完成并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eastAsia="zh-CN"/>
        </w:rPr>
        <w:t>免费拆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 xml:space="preserve">装，必须能够正常使用，完成工艺流程。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3、检测验收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（1）投标人安装调试合格后，经过双方检验认可，签署验收报告，产品保修期自验收合格之日起算，由投标人提供产品保修文件。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（2）当满足以下条件时，采购单位才向中标人签发货物验收报告：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1）中标人已按照合同规定提供了全部产品及完整的技术资料。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2）货物符合招标文件技术规格书的要求，性能满足要求。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 xml:space="preserve">3）货物具备产品合格证。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color w:val="auto"/>
          <w:sz w:val="24"/>
          <w:szCs w:val="24"/>
        </w:rPr>
        <w:t>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故障响应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对采购单位的服务通知，供应商在接报后2小时内响应，4小时内到达现场，12小时内处理完毕。若在24小时内仍未能有效解决，供应商须免费提供同档次的设备予采购单位临时使用。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</w:rPr>
      </w:pPr>
      <w:bookmarkStart w:id="2" w:name="_Toc50823740"/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b/>
          <w:color w:val="auto"/>
          <w:sz w:val="24"/>
          <w:szCs w:val="24"/>
        </w:rPr>
        <w:t>、报价应包含的内容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供应商的报价为完成本项目所有费用的总价，包括但不限于以下内容：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供应商应综合考虑各种因素再报价，供应商的报价应包含完成本项目工程所有的费用，如人工费、材料（设备）费用、机械费、管理费、利润、风险费、税费、代理服务费、运输费（多次供货）、上下车费、损耗费、保险费、检测费、售后质保费用等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预计发生或可能发生的所有费用，一旦确定不得更改；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其他费用，由供应商综合考虑。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200"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、付款条件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single"/>
        </w:rPr>
        <w:t>货物供货完毕，且验收合格后，无质量问题后付至合同总价款的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single"/>
          <w:lang w:val="en-US" w:eastAsia="zh-CN"/>
        </w:rPr>
        <w:t>95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single"/>
        </w:rPr>
        <w:t>%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u w:val="single"/>
          <w:lang w:eastAsia="zh-CN"/>
        </w:rPr>
        <w:t>，余款一年质保期结束后无质量问题一次性无息付清。</w:t>
      </w:r>
    </w:p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附效果图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1765" cy="3260090"/>
            <wp:effectExtent l="0" t="0" r="6985" b="16510"/>
            <wp:docPr id="1043" name="图片 1" descr="bcc474922175a52e000066a2aa7d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" descr="bcc474922175a52e000066a2aa7dd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ZGE3YWRlNmQxMDFjOWE4ZGNlZWZiMWU4Mzc4N2MifQ=="/>
  </w:docVars>
  <w:rsids>
    <w:rsidRoot w:val="00000000"/>
    <w:rsid w:val="13602973"/>
    <w:rsid w:val="19CE5E87"/>
    <w:rsid w:val="46A41C10"/>
    <w:rsid w:val="498E6432"/>
    <w:rsid w:val="58F15E06"/>
    <w:rsid w:val="680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2"/>
    <w:qFormat/>
    <w:uiPriority w:val="0"/>
    <w:pPr>
      <w:widowControl w:val="0"/>
      <w:spacing w:before="240" w:beforeLines="100" w:after="240" w:afterLines="100"/>
      <w:jc w:val="center"/>
      <w:outlineLvl w:val="1"/>
    </w:pPr>
    <w:rPr>
      <w:rFonts w:ascii="黑体" w:hAnsi="黑体" w:eastAsia="黑体" w:cs="Times New Roman"/>
      <w:color w:val="000000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1695</Words>
  <Characters>1875</Characters>
  <Paragraphs>81</Paragraphs>
  <TotalTime>16</TotalTime>
  <ScaleCrop>false</ScaleCrop>
  <LinksUpToDate>false</LinksUpToDate>
  <CharactersWithSpaces>1887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2022-07-24T08:45:00Z</dcterms:created>
  <dc:creator>Administrator</dc:creator>
  <cp:lastModifiedBy>文</cp:lastModifiedBy>
  <cp:lastPrinted>2022-09-02T07:32:06Z</cp:lastPrinted>
  <dcterms:modified xsi:type="dcterms:W3CDTF">2022-09-02T07:47:20Z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686C5769ED5D43E49CEBED568E1922E8</vt:lpwstr>
  </property>
</Properties>
</file>