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池州职业技术学院建筑与园林系2025年实训耗材（第一批）采购配送项目第   包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19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池州职业技术学院建筑与园林系2024-2025学年第2学期实训耗材采购项目（采购项目名称）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池州职业技术学院建筑与园林系2024-2025学年第2学期实训耗材采购项目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第   包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池州职业技术学院建筑与园林系2025年实训耗材（第一批）采购配送项目第    包</w:t>
      </w:r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耗材编码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型号规格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YL   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284B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YL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5D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E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036E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1A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YL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CF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38C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588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F8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YL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B00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755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D13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YL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4B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YL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72DC3C5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392A91E3">
      <w:pPr>
        <w:spacing w:line="240" w:lineRule="auto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0"/>
          <w:szCs w:val="30"/>
          <w:lang w:val="en-US" w:eastAsia="zh-CN" w:bidi="ar-SA"/>
        </w:rPr>
        <w:t>承诺：本报价有效期至2025年12月31日，同意2025年度内按本次投标的单价向采购人供应相关耗材，后期因原材料成本涨跌带来的风险由投标人自行承担。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  <w:bookmarkStart w:id="0" w:name="_GoBack"/>
      <w:bookmarkEnd w:id="0"/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0501965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84616E1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C5F206B"/>
    <w:rsid w:val="5D252331"/>
    <w:rsid w:val="63655D37"/>
    <w:rsid w:val="656756FC"/>
    <w:rsid w:val="66BC09E3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1591</Words>
  <Characters>1651</Characters>
  <Lines>0</Lines>
  <Paragraphs>0</Paragraphs>
  <TotalTime>0</TotalTime>
  <ScaleCrop>false</ScaleCrop>
  <LinksUpToDate>false</LinksUpToDate>
  <CharactersWithSpaces>2342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2025-05-17T12:24:10Z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